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23551" w14:textId="5F15D357" w:rsidR="0007367F" w:rsidRPr="00B266B0" w:rsidRDefault="0007367F" w:rsidP="0007367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700808</w:t>
      </w:r>
    </w:p>
    <w:p w14:paraId="41742E9B" w14:textId="77777777" w:rsidR="0007367F" w:rsidRPr="00B266B0" w:rsidRDefault="0007367F" w:rsidP="0007367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02D0C069" w14:textId="77777777" w:rsidR="0007367F" w:rsidRPr="00B266B0" w:rsidRDefault="0007367F" w:rsidP="00E4130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4A01834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A018341" w14:textId="4033A6E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7367F">
        <w:rPr>
          <w:rFonts w:cs="Arial"/>
          <w:b/>
          <w:bCs/>
          <w:sz w:val="24"/>
        </w:rPr>
        <w:t>10</w:t>
      </w:r>
      <w:r w:rsidR="0023218C">
        <w:rPr>
          <w:rFonts w:cs="Arial"/>
          <w:b/>
          <w:bCs/>
          <w:sz w:val="24"/>
          <w:lang w:eastAsia="ja-JP"/>
        </w:rPr>
        <w:t>.2.3</w:t>
      </w:r>
    </w:p>
    <w:p w14:paraId="4A01834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A018343" w14:textId="2D8DEA9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20C9">
        <w:rPr>
          <w:rFonts w:ascii="Arial" w:hAnsi="Arial" w:cs="Arial"/>
          <w:b/>
          <w:bCs/>
          <w:sz w:val="24"/>
        </w:rPr>
        <w:t xml:space="preserve">Control plane </w:t>
      </w:r>
      <w:r w:rsidR="0041796D">
        <w:rPr>
          <w:rFonts w:ascii="Arial" w:hAnsi="Arial" w:cs="Arial"/>
          <w:b/>
          <w:bCs/>
          <w:sz w:val="24"/>
        </w:rPr>
        <w:t>architecture for</w:t>
      </w:r>
      <w:r w:rsidR="007320C9">
        <w:rPr>
          <w:rFonts w:ascii="Arial" w:hAnsi="Arial" w:cs="Arial"/>
          <w:b/>
          <w:bCs/>
          <w:sz w:val="24"/>
        </w:rPr>
        <w:t xml:space="preserve"> NR-NR </w:t>
      </w:r>
      <w:r w:rsidR="00541F87">
        <w:rPr>
          <w:rFonts w:ascii="Arial" w:hAnsi="Arial" w:cs="Arial"/>
          <w:b/>
          <w:bCs/>
          <w:sz w:val="24"/>
        </w:rPr>
        <w:t>dual connectivity</w:t>
      </w:r>
      <w:r w:rsidR="00653E38">
        <w:rPr>
          <w:rFonts w:ascii="Arial" w:hAnsi="Arial" w:cs="Arial"/>
          <w:b/>
          <w:bCs/>
          <w:sz w:val="24"/>
        </w:rPr>
        <w:t xml:space="preserve"> </w:t>
      </w:r>
    </w:p>
    <w:p w14:paraId="4A018344" w14:textId="38467715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53E38" w:rsidRPr="0088665D">
        <w:rPr>
          <w:rFonts w:ascii="Arial" w:hAnsi="Arial" w:cs="Arial"/>
          <w:b/>
          <w:bCs/>
          <w:sz w:val="24"/>
        </w:rPr>
        <w:t>FS_</w:t>
      </w:r>
      <w:r w:rsidR="00653E38" w:rsidRPr="0088665D">
        <w:rPr>
          <w:rFonts w:ascii="Arial" w:hAnsi="Arial" w:cs="Arial" w:hint="eastAsia"/>
          <w:b/>
          <w:bCs/>
          <w:sz w:val="24"/>
        </w:rPr>
        <w:t xml:space="preserve"> NR_newRAT</w:t>
      </w:r>
      <w:r w:rsidR="00DF48C3">
        <w:rPr>
          <w:rFonts w:ascii="Arial" w:hAnsi="Arial" w:cs="Arial"/>
          <w:b/>
          <w:bCs/>
          <w:sz w:val="24"/>
        </w:rPr>
        <w:t xml:space="preserve"> – Release 14</w:t>
      </w:r>
    </w:p>
    <w:p w14:paraId="4A018345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A018346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018347" w14:textId="4A7C2D15" w:rsidR="00CD4C7B" w:rsidRPr="006E13D1" w:rsidRDefault="009D3A25" w:rsidP="00CD4C7B">
      <w:r>
        <w:t xml:space="preserve">In this contribution, we </w:t>
      </w:r>
      <w:r w:rsidR="00E9062E">
        <w:t>discuss</w:t>
      </w:r>
      <w:r>
        <w:t xml:space="preserve"> the</w:t>
      </w:r>
      <w:r w:rsidR="00E9062E">
        <w:t xml:space="preserve"> starting points for</w:t>
      </w:r>
      <w:r>
        <w:t xml:space="preserve"> </w:t>
      </w:r>
      <w:r w:rsidR="007B3F22">
        <w:t>dual connectivity principles for NR-NR.</w:t>
      </w:r>
    </w:p>
    <w:p w14:paraId="4A018348" w14:textId="59FABE08" w:rsidR="00545EB9" w:rsidRPr="006E13D1" w:rsidRDefault="00545EB9" w:rsidP="00545EB9">
      <w:pPr>
        <w:pStyle w:val="Heading1"/>
      </w:pPr>
      <w:r w:rsidRPr="006E13D1">
        <w:t>2</w:t>
      </w:r>
      <w:r w:rsidRPr="006E13D1">
        <w:tab/>
      </w:r>
      <w:r w:rsidR="007B3F22">
        <w:t>Control plane architecture for NR-NR</w:t>
      </w:r>
    </w:p>
    <w:p w14:paraId="4A01834C" w14:textId="3D918CF1" w:rsidR="009D3A25" w:rsidRDefault="007B3F22" w:rsidP="00545EB9">
      <w:r>
        <w:t>For the LTE/NR tight interworking, the network model comprising of 2 ASN.1 entities have been agreed.</w:t>
      </w:r>
      <w:r w:rsidR="009B02C9">
        <w:t xml:space="preserve"> Similarly, this concept is reflected in the following Figure 1 in the context of NR-NR DC.</w:t>
      </w:r>
    </w:p>
    <w:p w14:paraId="6DE1F65B" w14:textId="3073F6AF" w:rsidR="007B3F22" w:rsidRDefault="002F1B55" w:rsidP="007B3F22">
      <w:pPr>
        <w:jc w:val="center"/>
      </w:pPr>
      <w:r>
        <w:object w:dxaOrig="5564" w:dyaOrig="6795" w14:anchorId="20D38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3pt;height:239.1pt" o:ole="">
            <v:imagedata r:id="rId10" o:title=""/>
          </v:shape>
          <o:OLEObject Type="Embed" ProgID="Visio.Drawing.11" ShapeID="_x0000_i1025" DrawAspect="Content" ObjectID="_1547703854" r:id="rId11"/>
        </w:object>
      </w:r>
    </w:p>
    <w:p w14:paraId="10B4EFA8" w14:textId="609BAC55" w:rsidR="007B3F22" w:rsidRDefault="007B3F22" w:rsidP="007B3F22">
      <w:pPr>
        <w:jc w:val="center"/>
      </w:pPr>
      <w:r>
        <w:rPr>
          <w:rFonts w:ascii="Arial" w:hAnsi="Arial"/>
          <w:b/>
        </w:rPr>
        <w:t>Figure 1</w:t>
      </w:r>
      <w:r w:rsidRPr="007B25FD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Baseline CP architectural model for NR-NR DC</w:t>
      </w:r>
    </w:p>
    <w:p w14:paraId="75E14C7B" w14:textId="00983FEA" w:rsidR="007B3F22" w:rsidRDefault="00001349" w:rsidP="00545EB9">
      <w:r>
        <w:t>Based on the discussions for</w:t>
      </w:r>
      <w:r w:rsidR="002F1B55">
        <w:t xml:space="preserve"> LTE/NR tight interworking, we would like to propose that the NR-NR dual connectivity model should follow the </w:t>
      </w:r>
      <w:r w:rsidR="006F1C06">
        <w:t xml:space="preserve">agreed </w:t>
      </w:r>
      <w:r w:rsidR="002F1B55">
        <w:t>approach that the MgNB and the SgNB must operate as independently as possible</w:t>
      </w:r>
      <w:r w:rsidR="009B02C9">
        <w:t xml:space="preserve"> to allow similar flexibility</w:t>
      </w:r>
      <w:r w:rsidR="002F1B55">
        <w:t>.</w:t>
      </w:r>
    </w:p>
    <w:p w14:paraId="518F30A9" w14:textId="6474CCDE" w:rsidR="006F1C06" w:rsidRPr="006F1C06" w:rsidRDefault="006F1C06" w:rsidP="00545EB9">
      <w:pPr>
        <w:rPr>
          <w:b/>
        </w:rPr>
      </w:pPr>
      <w:r w:rsidRPr="006F1C06">
        <w:rPr>
          <w:b/>
        </w:rPr>
        <w:t xml:space="preserve">Proposal 1: </w:t>
      </w:r>
      <w:r>
        <w:rPr>
          <w:b/>
        </w:rPr>
        <w:t>In</w:t>
      </w:r>
      <w:r w:rsidRPr="006F1C06">
        <w:rPr>
          <w:b/>
        </w:rPr>
        <w:t xml:space="preserve"> NR-NR dual</w:t>
      </w:r>
      <w:r>
        <w:rPr>
          <w:b/>
        </w:rPr>
        <w:t xml:space="preserve"> connectivity, the master and secondary nodes must operate as independently as possible.</w:t>
      </w:r>
    </w:p>
    <w:p w14:paraId="3710F6A9" w14:textId="77777777" w:rsidR="007B3F22" w:rsidRDefault="007B3F22" w:rsidP="00545EB9"/>
    <w:p w14:paraId="4A01834D" w14:textId="28582893" w:rsidR="008C439D" w:rsidRDefault="006F1C06" w:rsidP="00F52E30">
      <w:pPr>
        <w:jc w:val="center"/>
      </w:pPr>
      <w:r>
        <w:object w:dxaOrig="2390" w:dyaOrig="2464" w14:anchorId="4A018363">
          <v:shape id="_x0000_i1026" type="#_x0000_t75" style="width:167.1pt;height:171.7pt" o:ole="">
            <v:imagedata r:id="rId12" o:title=""/>
          </v:shape>
          <o:OLEObject Type="Embed" ProgID="Visio.Drawing.11" ShapeID="_x0000_i1026" DrawAspect="Content" ObjectID="_1547703855" r:id="rId13"/>
        </w:object>
      </w:r>
    </w:p>
    <w:p w14:paraId="4A01834E" w14:textId="43F12146" w:rsidR="008C439D" w:rsidRDefault="00F52E30" w:rsidP="00F52E30">
      <w:pPr>
        <w:pStyle w:val="TF"/>
      </w:pPr>
      <w:r>
        <w:t xml:space="preserve">Figure 2: </w:t>
      </w:r>
      <w:r w:rsidR="00AE3326">
        <w:t>Multi-path CP transmission</w:t>
      </w:r>
      <w:r w:rsidR="00230710">
        <w:t xml:space="preserve"> in NR gNB</w:t>
      </w:r>
    </w:p>
    <w:p w14:paraId="4A01834F" w14:textId="0C7E0A67" w:rsidR="00AE3326" w:rsidRDefault="00AE3326" w:rsidP="00545EB9">
      <w:r>
        <w:t xml:space="preserve">In this </w:t>
      </w:r>
      <w:r w:rsidR="006F1C06">
        <w:t>solution,</w:t>
      </w:r>
      <w:r>
        <w:t xml:space="preserve"> the RRC message could be either transmitted to/from UE via Uu</w:t>
      </w:r>
      <w:r w:rsidR="0088471F">
        <w:t>*</w:t>
      </w:r>
      <w:r>
        <w:t xml:space="preserve"> of M</w:t>
      </w:r>
      <w:r w:rsidR="00230710">
        <w:t>g</w:t>
      </w:r>
      <w:r>
        <w:t>NB or S</w:t>
      </w:r>
      <w:r w:rsidR="00230710">
        <w:t>g</w:t>
      </w:r>
      <w:r>
        <w:t>NB, for both DL/UL</w:t>
      </w:r>
      <w:r w:rsidR="009B02C9">
        <w:t>, or then duplicated cross the both links</w:t>
      </w:r>
      <w:r>
        <w:t>. M</w:t>
      </w:r>
      <w:r w:rsidR="00230710">
        <w:t>-g</w:t>
      </w:r>
      <w:r>
        <w:t xml:space="preserve">NB could decide when to trigger this operation depending on e.g. UE measurement report or channel quality of each radio link. This concept was </w:t>
      </w:r>
      <w:r w:rsidR="006F1C06">
        <w:t>like</w:t>
      </w:r>
      <w:r>
        <w:t xml:space="preserve"> RRC diversity discussed in Rel-12 </w:t>
      </w:r>
      <w:r w:rsidR="0088471F">
        <w:t>DC</w:t>
      </w:r>
      <w:r>
        <w:t xml:space="preserve"> </w:t>
      </w:r>
      <w:r w:rsidR="00373CA8">
        <w:t xml:space="preserve">but </w:t>
      </w:r>
      <w:r>
        <w:t>considering the ultra-reliability requirement</w:t>
      </w:r>
      <w:r w:rsidR="00373CA8">
        <w:t xml:space="preserve"> in NR</w:t>
      </w:r>
      <w:r>
        <w:t xml:space="preserve"> it might be possible to extend the scope of this concept not only restricted to handover scenarios</w:t>
      </w:r>
      <w:r w:rsidR="0088471F">
        <w:t xml:space="preserve"> but to all control plane transmissions in general</w:t>
      </w:r>
      <w:r>
        <w:t>.</w:t>
      </w:r>
    </w:p>
    <w:p w14:paraId="4A018350" w14:textId="2AB88655" w:rsidR="00AC3AC2" w:rsidRDefault="00AC3AC2" w:rsidP="00545EB9">
      <w:r>
        <w:t xml:space="preserve">This </w:t>
      </w:r>
      <w:r w:rsidR="00373CA8">
        <w:t>multi-path CP transmission</w:t>
      </w:r>
      <w:r>
        <w:t xml:space="preserve"> would have the mobility robustness gain</w:t>
      </w:r>
      <w:r w:rsidR="00373CA8">
        <w:t xml:space="preserve"> as well as realize ultra-reliability for control plane messages/procedures</w:t>
      </w:r>
      <w:r>
        <w:t xml:space="preserve"> since more than one radio link could be utilized t</w:t>
      </w:r>
      <w:r w:rsidR="006F1C06">
        <w:t>o deliver RRC messages</w:t>
      </w:r>
      <w:r w:rsidR="009B02C9">
        <w:t>, e.g., to avoid triggering RLF in case the MgNB link is lost</w:t>
      </w:r>
      <w:r w:rsidR="006F1C06">
        <w:t xml:space="preserve">. </w:t>
      </w:r>
    </w:p>
    <w:p w14:paraId="4A018351" w14:textId="3EBAEB5C" w:rsidR="00545EB9" w:rsidRPr="00F82C4A" w:rsidRDefault="00545EB9" w:rsidP="00545EB9">
      <w:pPr>
        <w:rPr>
          <w:b/>
        </w:rPr>
      </w:pPr>
      <w:r w:rsidRPr="00F82C4A">
        <w:rPr>
          <w:b/>
        </w:rPr>
        <w:t xml:space="preserve">Proposal </w:t>
      </w:r>
      <w:r w:rsidR="006F1C06">
        <w:rPr>
          <w:b/>
        </w:rPr>
        <w:t>2</w:t>
      </w:r>
      <w:r w:rsidRPr="00F82C4A">
        <w:rPr>
          <w:b/>
        </w:rPr>
        <w:t xml:space="preserve">: </w:t>
      </w:r>
      <w:r w:rsidR="006F1C06">
        <w:rPr>
          <w:b/>
        </w:rPr>
        <w:t xml:space="preserve">In NR-NR dual connectivity, CP message delivery robustness should be enabled </w:t>
      </w:r>
      <w:r w:rsidR="00E9062E">
        <w:rPr>
          <w:b/>
        </w:rPr>
        <w:t>to</w:t>
      </w:r>
      <w:r w:rsidR="0088471F">
        <w:rPr>
          <w:b/>
        </w:rPr>
        <w:t xml:space="preserve"> fulfil the requirement of ultra-reliable control plane message transmission</w:t>
      </w:r>
      <w:r w:rsidR="00E9062E">
        <w:rPr>
          <w:b/>
        </w:rPr>
        <w:t xml:space="preserve"> (for URLLC like services)</w:t>
      </w:r>
      <w:r w:rsidRPr="00F82C4A">
        <w:rPr>
          <w:b/>
        </w:rPr>
        <w:t>.</w:t>
      </w:r>
    </w:p>
    <w:p w14:paraId="4A018352" w14:textId="43FC4E9D" w:rsidR="00CD4C7B" w:rsidRPr="006E13D1" w:rsidRDefault="00861A47" w:rsidP="00CD4C7B">
      <w:pPr>
        <w:pStyle w:val="Heading1"/>
      </w:pPr>
      <w:r>
        <w:t>3</w:t>
      </w:r>
      <w:r w:rsidR="00CD4C7B" w:rsidRPr="006E13D1">
        <w:tab/>
      </w:r>
      <w:r w:rsidR="00E9062E">
        <w:t>Direct signalling from SgNB to the UE</w:t>
      </w:r>
    </w:p>
    <w:p w14:paraId="00DCC60C" w14:textId="498C3F8F" w:rsidR="00A90454" w:rsidRDefault="00E9062E" w:rsidP="00CD4C7B">
      <w:r>
        <w:t>Since</w:t>
      </w:r>
      <w:r w:rsidR="00A90454">
        <w:t xml:space="preserve"> NR-NR multi-connectivity may happen between master NR node (operating at low frequency) and secondary NR node (operating at HF), it may </w:t>
      </w:r>
      <w:r w:rsidR="00D8180F">
        <w:t>al</w:t>
      </w:r>
      <w:r w:rsidR="00A90454">
        <w:t xml:space="preserve">so </w:t>
      </w:r>
      <w:r w:rsidR="00D8180F">
        <w:t>justify the scheme where</w:t>
      </w:r>
      <w:r w:rsidR="00A90454">
        <w:t xml:space="preserve"> the radio configurations are mutually exclusive (e.g. mutually exclusive UE capabilities). In such a situation, the macro and small cell nodes could be allowed to control their radio resources in a semi/fully independent manner. </w:t>
      </w:r>
    </w:p>
    <w:p w14:paraId="4A018353" w14:textId="634124F4" w:rsidR="00F07C01" w:rsidRDefault="00124BDF" w:rsidP="00CD4C7B">
      <w:r>
        <w:t>As an important reference and benchmark</w:t>
      </w:r>
      <w:r w:rsidR="0088471F">
        <w:t xml:space="preserve"> (control plane O</w:t>
      </w:r>
      <w:r w:rsidR="00513712">
        <w:t xml:space="preserve">ption 2 </w:t>
      </w:r>
      <w:r w:rsidR="00E9062E">
        <w:t>discussed during LTE-DC</w:t>
      </w:r>
      <w:r w:rsidR="00513712">
        <w:t>)</w:t>
      </w:r>
      <w:r>
        <w:t xml:space="preserve">, </w:t>
      </w:r>
      <w:r w:rsidR="00513712">
        <w:t xml:space="preserve">this option should be </w:t>
      </w:r>
      <w:r w:rsidR="00D8180F">
        <w:t xml:space="preserve">the </w:t>
      </w:r>
      <w:r w:rsidR="00E9062E">
        <w:t>baseline</w:t>
      </w:r>
      <w:r w:rsidR="00F07C01">
        <w:t xml:space="preserve"> </w:t>
      </w:r>
      <w:r w:rsidR="00D8180F">
        <w:t xml:space="preserve">for </w:t>
      </w:r>
      <w:r w:rsidR="00F07C01">
        <w:t xml:space="preserve">NR </w:t>
      </w:r>
      <w:r w:rsidR="00D8180F">
        <w:t>dual</w:t>
      </w:r>
      <w:r w:rsidR="00F07C01">
        <w:t>-connectivity</w:t>
      </w:r>
      <w:r w:rsidR="00513712">
        <w:t xml:space="preserve">. The most critical difference between this option and control plane </w:t>
      </w:r>
      <w:r w:rsidR="0088471F">
        <w:t>O</w:t>
      </w:r>
      <w:r w:rsidR="00513712">
        <w:t>ption 1 is that direct configuration is enabled between UE and S</w:t>
      </w:r>
      <w:r w:rsidR="00D8180F">
        <w:t>g</w:t>
      </w:r>
      <w:r w:rsidR="00513712">
        <w:t xml:space="preserve">NB via the assisting RRC entity, which </w:t>
      </w:r>
      <w:r w:rsidR="009B177C">
        <w:t>might</w:t>
      </w:r>
      <w:r w:rsidR="003234EC">
        <w:t xml:space="preserve"> have the benefit of shorter configuration delay (for SeNB related radio configurations) and less </w:t>
      </w:r>
      <w:r w:rsidR="0088471F">
        <w:t>signalling</w:t>
      </w:r>
      <w:r w:rsidR="003234EC">
        <w:t xml:space="preserve"> overhead (</w:t>
      </w:r>
      <w:r w:rsidR="009B177C">
        <w:t>no need for X2AP</w:t>
      </w:r>
      <w:r w:rsidR="00BE249C">
        <w:t>/XnAP</w:t>
      </w:r>
      <w:r w:rsidR="003234EC">
        <w:t xml:space="preserve"> signallin</w:t>
      </w:r>
      <w:r w:rsidR="00F07C01">
        <w:t>g exchange with M</w:t>
      </w:r>
      <w:r w:rsidR="00D8180F">
        <w:t>g</w:t>
      </w:r>
      <w:r w:rsidR="000D267C">
        <w:t>NB), as shown in figure 3</w:t>
      </w:r>
      <w:r w:rsidR="00D8180F">
        <w:t xml:space="preserve"> </w:t>
      </w:r>
      <w:r w:rsidR="000D267C">
        <w:t>below:</w:t>
      </w:r>
    </w:p>
    <w:p w14:paraId="4A018354" w14:textId="51075440" w:rsidR="00F07C01" w:rsidRDefault="00E9062E" w:rsidP="000D267C">
      <w:pPr>
        <w:jc w:val="center"/>
      </w:pPr>
      <w:r>
        <w:object w:dxaOrig="2561" w:dyaOrig="2464" w14:anchorId="4A018364">
          <v:shape id="_x0000_i1027" type="#_x0000_t75" style="width:181.4pt;height:174pt" o:ole="">
            <v:imagedata r:id="rId14" o:title=""/>
          </v:shape>
          <o:OLEObject Type="Embed" ProgID="Visio.Drawing.11" ShapeID="_x0000_i1027" DrawAspect="Content" ObjectID="_1547703856" r:id="rId15"/>
        </w:object>
      </w:r>
    </w:p>
    <w:p w14:paraId="4A018355" w14:textId="3AB93C07" w:rsidR="000D267C" w:rsidRDefault="00483658" w:rsidP="000D267C">
      <w:pPr>
        <w:pStyle w:val="TF"/>
      </w:pPr>
      <w:r>
        <w:t>Figure 3</w:t>
      </w:r>
      <w:r w:rsidR="000D267C">
        <w:t xml:space="preserve">: </w:t>
      </w:r>
      <w:r w:rsidR="00E9062E">
        <w:t>Direct signalling from NR SgNB to UE</w:t>
      </w:r>
    </w:p>
    <w:p w14:paraId="09D5C05B" w14:textId="77777777" w:rsidR="002A742E" w:rsidRDefault="002A742E" w:rsidP="00CD4C7B"/>
    <w:p w14:paraId="4A018358" w14:textId="4AFA1063" w:rsidR="00124BDF" w:rsidRDefault="00124BDF" w:rsidP="001B49C9">
      <w:pPr>
        <w:rPr>
          <w:b/>
        </w:rPr>
      </w:pPr>
      <w:bookmarkStart w:id="2" w:name="OLE_LINK5"/>
      <w:bookmarkStart w:id="3" w:name="OLE_LINK6"/>
      <w:bookmarkStart w:id="4" w:name="OLE_LINK4"/>
      <w:bookmarkStart w:id="5" w:name="OLE_LINK7"/>
      <w:bookmarkStart w:id="6" w:name="OLE_LINK8"/>
      <w:r w:rsidRPr="00F82C4A">
        <w:rPr>
          <w:b/>
        </w:rPr>
        <w:t xml:space="preserve">Proposal </w:t>
      </w:r>
      <w:r w:rsidR="00E9062E">
        <w:rPr>
          <w:b/>
        </w:rPr>
        <w:t>3</w:t>
      </w:r>
      <w:r w:rsidRPr="00F82C4A">
        <w:rPr>
          <w:b/>
        </w:rPr>
        <w:t xml:space="preserve">: </w:t>
      </w:r>
      <w:r w:rsidR="00E9062E">
        <w:rPr>
          <w:b/>
        </w:rPr>
        <w:t>NR-NR DC supports SgNB direct RRC signalling to the UE.</w:t>
      </w:r>
    </w:p>
    <w:bookmarkEnd w:id="2"/>
    <w:bookmarkEnd w:id="3"/>
    <w:bookmarkEnd w:id="4"/>
    <w:bookmarkEnd w:id="5"/>
    <w:bookmarkEnd w:id="6"/>
    <w:p w14:paraId="4A018359" w14:textId="77777777" w:rsidR="00CD4C7B" w:rsidRPr="006E13D1" w:rsidRDefault="00C13575" w:rsidP="00CD4C7B">
      <w:pPr>
        <w:pStyle w:val="Heading1"/>
      </w:pPr>
      <w:r>
        <w:t>4</w:t>
      </w:r>
      <w:r>
        <w:tab/>
        <w:t xml:space="preserve">Summary </w:t>
      </w:r>
    </w:p>
    <w:p w14:paraId="4A01835A" w14:textId="77777777" w:rsidR="00E30215" w:rsidRDefault="00E30215" w:rsidP="00CD4C7B">
      <w:r w:rsidRPr="00E30215">
        <w:t>Based on above discussions we have following proposals:</w:t>
      </w:r>
    </w:p>
    <w:p w14:paraId="0FE43D19" w14:textId="6027A467" w:rsidR="00E9062E" w:rsidRDefault="00E9062E" w:rsidP="00E9062E">
      <w:pPr>
        <w:rPr>
          <w:b/>
        </w:rPr>
      </w:pPr>
      <w:r w:rsidRPr="006F1C06">
        <w:rPr>
          <w:b/>
        </w:rPr>
        <w:t xml:space="preserve">Proposal 1: </w:t>
      </w:r>
      <w:r>
        <w:rPr>
          <w:b/>
        </w:rPr>
        <w:t>In</w:t>
      </w:r>
      <w:r w:rsidRPr="006F1C06">
        <w:rPr>
          <w:b/>
        </w:rPr>
        <w:t xml:space="preserve"> NR-NR dual</w:t>
      </w:r>
      <w:r>
        <w:rPr>
          <w:b/>
        </w:rPr>
        <w:t xml:space="preserve"> connectivity, the master and secondary nodes must operate as independently as possible.</w:t>
      </w:r>
    </w:p>
    <w:p w14:paraId="4949BD69" w14:textId="77777777" w:rsidR="00E9062E" w:rsidRPr="00F82C4A" w:rsidRDefault="00E9062E" w:rsidP="00E9062E">
      <w:pPr>
        <w:rPr>
          <w:b/>
        </w:rPr>
      </w:pPr>
      <w:r w:rsidRPr="00F82C4A">
        <w:rPr>
          <w:b/>
        </w:rPr>
        <w:t xml:space="preserve">Proposal </w:t>
      </w:r>
      <w:r>
        <w:rPr>
          <w:b/>
        </w:rPr>
        <w:t>2</w:t>
      </w:r>
      <w:r w:rsidRPr="00F82C4A">
        <w:rPr>
          <w:b/>
        </w:rPr>
        <w:t xml:space="preserve">: </w:t>
      </w:r>
      <w:r>
        <w:rPr>
          <w:b/>
        </w:rPr>
        <w:t>In NR-NR dual connectivity, CP message delivery robustness should be enabled to fulfil the requirement of ultra-reliable control plane message transmission (for URLLC like services)</w:t>
      </w:r>
      <w:r w:rsidRPr="00F82C4A">
        <w:rPr>
          <w:b/>
        </w:rPr>
        <w:t>.</w:t>
      </w:r>
    </w:p>
    <w:p w14:paraId="335481DF" w14:textId="77777777" w:rsidR="00E9062E" w:rsidRDefault="00E9062E" w:rsidP="00E9062E">
      <w:pPr>
        <w:rPr>
          <w:b/>
        </w:rPr>
      </w:pPr>
      <w:r w:rsidRPr="00F82C4A">
        <w:rPr>
          <w:b/>
        </w:rPr>
        <w:t xml:space="preserve">Proposal </w:t>
      </w:r>
      <w:r>
        <w:rPr>
          <w:b/>
        </w:rPr>
        <w:t>3</w:t>
      </w:r>
      <w:r w:rsidRPr="00F82C4A">
        <w:rPr>
          <w:b/>
        </w:rPr>
        <w:t xml:space="preserve">: </w:t>
      </w:r>
      <w:r>
        <w:rPr>
          <w:b/>
        </w:rPr>
        <w:t>NR-NR DC supports SgNB direct RRC signalling to the UE.</w:t>
      </w:r>
    </w:p>
    <w:p w14:paraId="4A01835E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018361" w14:textId="2CA499D9" w:rsidR="00080512" w:rsidRPr="00E9062E" w:rsidRDefault="00E9062E" w:rsidP="00E906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75086397"/>
      <w:r w:rsidRPr="00E9062E">
        <w:t>R2-1700055</w:t>
      </w:r>
      <w:r w:rsidR="00ED42ED">
        <w:t xml:space="preserve">, </w:t>
      </w:r>
      <w:bookmarkEnd w:id="7"/>
      <w:r w:rsidRPr="00E9062E">
        <w:rPr>
          <w:i/>
          <w:iCs/>
        </w:rPr>
        <w:t>RRC aspects for the direct signalling path from secondary node to the UE</w:t>
      </w:r>
      <w:r>
        <w:rPr>
          <w:i/>
          <w:iCs/>
        </w:rPr>
        <w:t xml:space="preserve">, </w:t>
      </w:r>
      <w:r w:rsidRPr="00E9062E">
        <w:rPr>
          <w:iCs/>
        </w:rPr>
        <w:t>Nokia, Alcatel-Lucent Shanghai Bell</w:t>
      </w:r>
    </w:p>
    <w:sectPr w:rsidR="00080512" w:rsidRPr="00E906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C5625" w14:textId="77777777" w:rsidR="0073770A" w:rsidRDefault="0073770A">
      <w:r>
        <w:separator/>
      </w:r>
    </w:p>
  </w:endnote>
  <w:endnote w:type="continuationSeparator" w:id="0">
    <w:p w14:paraId="072F860C" w14:textId="77777777" w:rsidR="0073770A" w:rsidRDefault="0073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FA0DD" w14:textId="77777777" w:rsidR="0073770A" w:rsidRDefault="0073770A">
      <w:r>
        <w:separator/>
      </w:r>
    </w:p>
  </w:footnote>
  <w:footnote w:type="continuationSeparator" w:id="0">
    <w:p w14:paraId="61E3914D" w14:textId="77777777" w:rsidR="0073770A" w:rsidRDefault="00737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49"/>
    <w:rsid w:val="00033397"/>
    <w:rsid w:val="00040095"/>
    <w:rsid w:val="000704F3"/>
    <w:rsid w:val="0007367F"/>
    <w:rsid w:val="00080512"/>
    <w:rsid w:val="00090468"/>
    <w:rsid w:val="00090DA3"/>
    <w:rsid w:val="000B7BCF"/>
    <w:rsid w:val="000C522B"/>
    <w:rsid w:val="000C616C"/>
    <w:rsid w:val="000D267C"/>
    <w:rsid w:val="000D58AB"/>
    <w:rsid w:val="00124BDF"/>
    <w:rsid w:val="00130F28"/>
    <w:rsid w:val="00144C9B"/>
    <w:rsid w:val="00154A2C"/>
    <w:rsid w:val="001712AE"/>
    <w:rsid w:val="001741A0"/>
    <w:rsid w:val="00194CD0"/>
    <w:rsid w:val="001B49C9"/>
    <w:rsid w:val="001B7E16"/>
    <w:rsid w:val="001E1A54"/>
    <w:rsid w:val="001F168B"/>
    <w:rsid w:val="001F7831"/>
    <w:rsid w:val="00204045"/>
    <w:rsid w:val="00213D36"/>
    <w:rsid w:val="0022606D"/>
    <w:rsid w:val="00230710"/>
    <w:rsid w:val="0023218C"/>
    <w:rsid w:val="0025063F"/>
    <w:rsid w:val="002747EC"/>
    <w:rsid w:val="002855BF"/>
    <w:rsid w:val="00286662"/>
    <w:rsid w:val="002A4F8C"/>
    <w:rsid w:val="002A70D8"/>
    <w:rsid w:val="002A742E"/>
    <w:rsid w:val="002B0691"/>
    <w:rsid w:val="002C1ECB"/>
    <w:rsid w:val="002E33BE"/>
    <w:rsid w:val="002F0D22"/>
    <w:rsid w:val="002F1B55"/>
    <w:rsid w:val="003172DC"/>
    <w:rsid w:val="003234EC"/>
    <w:rsid w:val="00326069"/>
    <w:rsid w:val="0034412E"/>
    <w:rsid w:val="003524F3"/>
    <w:rsid w:val="0035462D"/>
    <w:rsid w:val="00373CA8"/>
    <w:rsid w:val="003C4E37"/>
    <w:rsid w:val="003E16BE"/>
    <w:rsid w:val="00401855"/>
    <w:rsid w:val="0041796D"/>
    <w:rsid w:val="00433349"/>
    <w:rsid w:val="00474440"/>
    <w:rsid w:val="00477455"/>
    <w:rsid w:val="00480843"/>
    <w:rsid w:val="00483658"/>
    <w:rsid w:val="00492092"/>
    <w:rsid w:val="004B38DD"/>
    <w:rsid w:val="004B4214"/>
    <w:rsid w:val="004C2F3E"/>
    <w:rsid w:val="004D3578"/>
    <w:rsid w:val="004D380D"/>
    <w:rsid w:val="004E213A"/>
    <w:rsid w:val="00503171"/>
    <w:rsid w:val="00513712"/>
    <w:rsid w:val="00534DA0"/>
    <w:rsid w:val="00541F87"/>
    <w:rsid w:val="00542487"/>
    <w:rsid w:val="00543E6C"/>
    <w:rsid w:val="00545EB9"/>
    <w:rsid w:val="00565087"/>
    <w:rsid w:val="0056573F"/>
    <w:rsid w:val="0059751E"/>
    <w:rsid w:val="005A1B41"/>
    <w:rsid w:val="005B5AB9"/>
    <w:rsid w:val="005C1D2B"/>
    <w:rsid w:val="005D0C7F"/>
    <w:rsid w:val="005D1B8A"/>
    <w:rsid w:val="005D2A94"/>
    <w:rsid w:val="005E01F2"/>
    <w:rsid w:val="00611566"/>
    <w:rsid w:val="00646D99"/>
    <w:rsid w:val="006519D6"/>
    <w:rsid w:val="00653E38"/>
    <w:rsid w:val="00656910"/>
    <w:rsid w:val="006663E3"/>
    <w:rsid w:val="006C10D3"/>
    <w:rsid w:val="006C5D51"/>
    <w:rsid w:val="006C66D8"/>
    <w:rsid w:val="006D1E24"/>
    <w:rsid w:val="006F01A6"/>
    <w:rsid w:val="006F178E"/>
    <w:rsid w:val="006F1C06"/>
    <w:rsid w:val="006F6A2C"/>
    <w:rsid w:val="00730E67"/>
    <w:rsid w:val="007320C9"/>
    <w:rsid w:val="00734A5B"/>
    <w:rsid w:val="0073770A"/>
    <w:rsid w:val="00744E76"/>
    <w:rsid w:val="007505F9"/>
    <w:rsid w:val="00757D40"/>
    <w:rsid w:val="007803A9"/>
    <w:rsid w:val="00781F0F"/>
    <w:rsid w:val="0078727C"/>
    <w:rsid w:val="007934DD"/>
    <w:rsid w:val="0079662C"/>
    <w:rsid w:val="007B18D8"/>
    <w:rsid w:val="007B3F22"/>
    <w:rsid w:val="007C095F"/>
    <w:rsid w:val="007D1B75"/>
    <w:rsid w:val="008028A4"/>
    <w:rsid w:val="00832309"/>
    <w:rsid w:val="00853775"/>
    <w:rsid w:val="00860BDA"/>
    <w:rsid w:val="00861A47"/>
    <w:rsid w:val="008768CA"/>
    <w:rsid w:val="00880559"/>
    <w:rsid w:val="00884253"/>
    <w:rsid w:val="0088471F"/>
    <w:rsid w:val="008B24A5"/>
    <w:rsid w:val="008B29C0"/>
    <w:rsid w:val="008C439D"/>
    <w:rsid w:val="0090271F"/>
    <w:rsid w:val="00924EAC"/>
    <w:rsid w:val="00942374"/>
    <w:rsid w:val="00942EC2"/>
    <w:rsid w:val="00946D75"/>
    <w:rsid w:val="00954F17"/>
    <w:rsid w:val="00961B32"/>
    <w:rsid w:val="00974BB0"/>
    <w:rsid w:val="009B02C9"/>
    <w:rsid w:val="009B07CD"/>
    <w:rsid w:val="009B177C"/>
    <w:rsid w:val="009D3A25"/>
    <w:rsid w:val="00A10F02"/>
    <w:rsid w:val="00A30107"/>
    <w:rsid w:val="00A32BA5"/>
    <w:rsid w:val="00A477E3"/>
    <w:rsid w:val="00A53724"/>
    <w:rsid w:val="00A62A88"/>
    <w:rsid w:val="00A70AA9"/>
    <w:rsid w:val="00A82346"/>
    <w:rsid w:val="00A90454"/>
    <w:rsid w:val="00A9671C"/>
    <w:rsid w:val="00AC0690"/>
    <w:rsid w:val="00AC3AC2"/>
    <w:rsid w:val="00AE3326"/>
    <w:rsid w:val="00B15449"/>
    <w:rsid w:val="00B47FD1"/>
    <w:rsid w:val="00BE249C"/>
    <w:rsid w:val="00BF7458"/>
    <w:rsid w:val="00C12B51"/>
    <w:rsid w:val="00C13575"/>
    <w:rsid w:val="00C33079"/>
    <w:rsid w:val="00C64A81"/>
    <w:rsid w:val="00C83A13"/>
    <w:rsid w:val="00C913D4"/>
    <w:rsid w:val="00C96217"/>
    <w:rsid w:val="00CA3D0C"/>
    <w:rsid w:val="00CC28E1"/>
    <w:rsid w:val="00CD4C7B"/>
    <w:rsid w:val="00D738D6"/>
    <w:rsid w:val="00D80795"/>
    <w:rsid w:val="00D8180F"/>
    <w:rsid w:val="00D87E00"/>
    <w:rsid w:val="00D9134D"/>
    <w:rsid w:val="00D96D11"/>
    <w:rsid w:val="00DA0B2E"/>
    <w:rsid w:val="00DA7A03"/>
    <w:rsid w:val="00DB1818"/>
    <w:rsid w:val="00DC309B"/>
    <w:rsid w:val="00DC4DA2"/>
    <w:rsid w:val="00DE79A4"/>
    <w:rsid w:val="00DF17A6"/>
    <w:rsid w:val="00DF48C3"/>
    <w:rsid w:val="00E30215"/>
    <w:rsid w:val="00E305EF"/>
    <w:rsid w:val="00E41306"/>
    <w:rsid w:val="00E62835"/>
    <w:rsid w:val="00E77645"/>
    <w:rsid w:val="00E8219B"/>
    <w:rsid w:val="00E9062E"/>
    <w:rsid w:val="00EC4A25"/>
    <w:rsid w:val="00EC69E8"/>
    <w:rsid w:val="00ED42ED"/>
    <w:rsid w:val="00F025A2"/>
    <w:rsid w:val="00F07388"/>
    <w:rsid w:val="00F07C01"/>
    <w:rsid w:val="00F1048C"/>
    <w:rsid w:val="00F2026E"/>
    <w:rsid w:val="00F209E2"/>
    <w:rsid w:val="00F2210A"/>
    <w:rsid w:val="00F24C40"/>
    <w:rsid w:val="00F37743"/>
    <w:rsid w:val="00F40CCF"/>
    <w:rsid w:val="00F502D9"/>
    <w:rsid w:val="00F52E30"/>
    <w:rsid w:val="00F548BB"/>
    <w:rsid w:val="00F54A3D"/>
    <w:rsid w:val="00F653B8"/>
    <w:rsid w:val="00F67214"/>
    <w:rsid w:val="00F76F8F"/>
    <w:rsid w:val="00F82C4A"/>
    <w:rsid w:val="00F9152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1833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CommentReference">
    <w:name w:val="annotation reference"/>
    <w:basedOn w:val="DefaultParagraphFont"/>
    <w:rsid w:val="009B02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02C9"/>
  </w:style>
  <w:style w:type="character" w:customStyle="1" w:styleId="CommentTextChar">
    <w:name w:val="Comment Text Char"/>
    <w:basedOn w:val="DefaultParagraphFont"/>
    <w:link w:val="CommentText"/>
    <w:rsid w:val="009B02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0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02C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9B02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B02C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265</Value>
      <Value>264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B8A6E5-A040-45E6-81D6-A2586EA0EB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15AD6-F259-45E6-A86C-AFB94A903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FAC34-1786-447F-9B92-B6FDFD147F4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3863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RAN2; 3GPP</cp:keywords>
  <cp:lastModifiedBy>Ali, Amaanat (Nokia - FI/Espoo)</cp:lastModifiedBy>
  <cp:revision>4</cp:revision>
  <dcterms:created xsi:type="dcterms:W3CDTF">2017-02-03T11:55:00Z</dcterms:created>
  <dcterms:modified xsi:type="dcterms:W3CDTF">2017-02-04T06:58:00Z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265;#3GPP|e46eb455-f0ba-41a2-96ee-60e1ae93d2e1;#264;#RAN2|980e9916-4a25-480c-aca9-d4509746e608</vt:lpwstr>
  </property>
</Properties>
</file>